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99" w:rsidRPr="00867599" w:rsidRDefault="00867599" w:rsidP="00867599">
      <w:pPr>
        <w:spacing w:after="0" w:line="240" w:lineRule="auto"/>
        <w:jc w:val="center"/>
        <w:rPr>
          <w:rFonts w:ascii="Arial" w:eastAsia="Times New Roman" w:hAnsi="Arial" w:cs="Arial"/>
          <w:sz w:val="19"/>
          <w:szCs w:val="19"/>
        </w:rPr>
      </w:pPr>
      <w:r w:rsidRPr="00867599">
        <w:rPr>
          <w:rFonts w:ascii="Georgia" w:eastAsia="Times New Roman" w:hAnsi="Georgia" w:cs="Arial"/>
          <w:caps/>
          <w:color w:val="13184A"/>
          <w:sz w:val="36"/>
          <w:szCs w:val="36"/>
        </w:rPr>
        <w:t>RS 51:1317</w:t>
      </w:r>
      <w:r w:rsidRPr="00867599">
        <w:rPr>
          <w:rFonts w:ascii="Arial" w:eastAsia="Times New Roman" w:hAnsi="Arial" w:cs="Arial"/>
          <w:sz w:val="19"/>
          <w:szCs w:val="19"/>
        </w:rPr>
        <w:t xml:space="preserve">      </w:t>
      </w:r>
      <w:r w:rsidRPr="00867599">
        <w:rPr>
          <w:rFonts w:ascii="Arial" w:eastAsia="Times New Roman" w:hAnsi="Arial" w:cs="Arial"/>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22.5pt" o:ole="">
            <v:imagedata r:id="rId4" o:title=""/>
          </v:shape>
          <w:control r:id="rId5" w:name="DefaultOcxName" w:shapeid="_x0000_i1033"/>
        </w:object>
      </w:r>
    </w:p>
    <w:p w:rsidR="00867599" w:rsidRPr="00867599" w:rsidRDefault="00867599" w:rsidP="00867599">
      <w:pPr>
        <w:spacing w:after="0" w:line="240" w:lineRule="auto"/>
        <w:rPr>
          <w:rFonts w:ascii="Arial" w:eastAsia="Times New Roman" w:hAnsi="Arial" w:cs="Arial"/>
          <w:sz w:val="19"/>
          <w:szCs w:val="19"/>
        </w:rPr>
      </w:pPr>
    </w:p>
    <w:p w:rsidR="00867599" w:rsidRPr="00867599" w:rsidRDefault="00867599" w:rsidP="00867599">
      <w:pPr>
        <w:spacing w:after="0" w:line="240" w:lineRule="auto"/>
        <w:jc w:val="right"/>
        <w:rPr>
          <w:rFonts w:ascii="Arial" w:eastAsia="Times New Roman" w:hAnsi="Arial" w:cs="Arial"/>
          <w:sz w:val="19"/>
          <w:szCs w:val="19"/>
        </w:rPr>
      </w:pPr>
      <w:r w:rsidRPr="00867599">
        <w:rPr>
          <w:rFonts w:ascii="Arial" w:eastAsia="Times New Roman" w:hAnsi="Arial" w:cs="Arial"/>
          <w:noProof/>
          <w:color w:val="5B63A1"/>
          <w:sz w:val="19"/>
          <w:szCs w:val="19"/>
        </w:rPr>
        <w:drawing>
          <wp:inline distT="0" distB="0" distL="0" distR="0" wp14:anchorId="28E2DB0E" wp14:editId="460CC3A6">
            <wp:extent cx="219075" cy="209550"/>
            <wp:effectExtent l="0" t="0" r="9525" b="0"/>
            <wp:docPr id="1" name="Picture 1" descr="http://www.legis.la.gov/Legis/App_Themes/Legis/Images/print.gif">
              <a:hlinkClick xmlns:a="http://schemas.openxmlformats.org/drawingml/2006/main" r:id="rId6" tgtFrame="&quot;_blank&quot;" tooltip="&quot;Printable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la.gov/Legis/App_Themes/Legis/Images/print.gif">
                      <a:hlinkClick r:id="rId6" tgtFrame="&quot;_blank&quot;" tooltip="&quot;Printable Vers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67599">
        <w:rPr>
          <w:rFonts w:ascii="Arial" w:eastAsia="Times New Roman" w:hAnsi="Arial" w:cs="Arial"/>
          <w:sz w:val="19"/>
          <w:szCs w:val="19"/>
        </w:rPr>
        <w:t xml:space="preserve">   </w:t>
      </w:r>
    </w:p>
    <w:p w:rsidR="00867599" w:rsidRPr="00867599" w:rsidRDefault="00867599" w:rsidP="00867599">
      <w:pPr>
        <w:spacing w:after="0" w:line="240" w:lineRule="auto"/>
        <w:rPr>
          <w:rFonts w:ascii="Arial" w:eastAsia="Times New Roman" w:hAnsi="Arial" w:cs="Arial"/>
          <w:sz w:val="19"/>
          <w:szCs w:val="19"/>
        </w:rPr>
      </w:pPr>
      <w:r w:rsidRPr="00867599">
        <w:rPr>
          <w:rFonts w:ascii="Arial" w:eastAsia="Times New Roman" w:hAnsi="Arial" w:cs="Arial"/>
          <w:sz w:val="19"/>
          <w:szCs w:val="19"/>
        </w:rPr>
        <w:object w:dxaOrig="1440" w:dyaOrig="1440">
          <v:shape id="_x0000_i1032" type="#_x0000_t75" style="width:1in;height:18pt" o:ole="">
            <v:imagedata r:id="rId8" o:title=""/>
          </v:shape>
          <w:control r:id="rId9" w:name="DefaultOcxName1" w:shapeid="_x0000_i1032"/>
        </w:object>
      </w:r>
      <w:r w:rsidRPr="00867599">
        <w:rPr>
          <w:rFonts w:ascii="Arial" w:eastAsia="Times New Roman" w:hAnsi="Arial" w:cs="Arial"/>
          <w:sz w:val="19"/>
          <w:szCs w:val="19"/>
        </w:rPr>
        <w:object w:dxaOrig="1440" w:dyaOrig="1440">
          <v:shape id="_x0000_i1031" type="#_x0000_t75" style="width:1in;height:18pt" o:ole="">
            <v:imagedata r:id="rId10" o:title=""/>
          </v:shape>
          <w:control r:id="rId11" w:name="DefaultOcxName2" w:shapeid="_x0000_i1031"/>
        </w:object>
      </w:r>
    </w:p>
    <w:p w:rsidR="00867599" w:rsidRPr="00867599" w:rsidRDefault="00867599" w:rsidP="00867599">
      <w:pPr>
        <w:shd w:val="clear" w:color="auto" w:fill="FFFFFF"/>
        <w:spacing w:after="0" w:line="280" w:lineRule="atLeast"/>
        <w:jc w:val="center"/>
        <w:rPr>
          <w:rFonts w:ascii="Times New Roman" w:eastAsia="Times New Roman" w:hAnsi="Times New Roman" w:cs="Times New Roman"/>
          <w:sz w:val="24"/>
          <w:szCs w:val="24"/>
        </w:rPr>
      </w:pPr>
      <w:r w:rsidRPr="00867599">
        <w:rPr>
          <w:rFonts w:ascii="Times New Roman" w:eastAsia="Times New Roman" w:hAnsi="Times New Roman" w:cs="Times New Roman"/>
          <w:sz w:val="24"/>
          <w:szCs w:val="24"/>
        </w:rPr>
        <w:t>CHAPTER 10-A.  ENCORE LOUISIANA COMMISSION</w:t>
      </w:r>
    </w:p>
    <w:p w:rsidR="00867599" w:rsidRPr="00867599" w:rsidRDefault="00867599" w:rsidP="00867599">
      <w:pPr>
        <w:shd w:val="clear" w:color="auto" w:fill="FFFFFF"/>
        <w:spacing w:after="0" w:line="280" w:lineRule="atLeast"/>
        <w:ind w:hanging="720"/>
        <w:rPr>
          <w:rFonts w:ascii="Times New Roman" w:eastAsia="Times New Roman" w:hAnsi="Times New Roman" w:cs="Times New Roman"/>
          <w:sz w:val="24"/>
          <w:szCs w:val="24"/>
        </w:rPr>
      </w:pPr>
      <w:r w:rsidRPr="00867599">
        <w:rPr>
          <w:rFonts w:ascii="Times New Roman" w:eastAsia="Times New Roman" w:hAnsi="Times New Roman" w:cs="Times New Roman"/>
          <w:sz w:val="24"/>
          <w:szCs w:val="24"/>
        </w:rPr>
        <w:t>§1317.  Legislative findings and determinations</w:t>
      </w:r>
    </w:p>
    <w:p w:rsidR="00867599" w:rsidRPr="00867599" w:rsidRDefault="00867599" w:rsidP="00867599">
      <w:pPr>
        <w:shd w:val="clear" w:color="auto" w:fill="FFFFFF"/>
        <w:spacing w:after="0" w:line="280" w:lineRule="atLeast"/>
        <w:ind w:firstLine="720"/>
        <w:rPr>
          <w:rFonts w:ascii="Times New Roman" w:eastAsia="Times New Roman" w:hAnsi="Times New Roman" w:cs="Times New Roman"/>
          <w:sz w:val="24"/>
          <w:szCs w:val="24"/>
        </w:rPr>
      </w:pPr>
      <w:r w:rsidRPr="00867599">
        <w:rPr>
          <w:rFonts w:ascii="Times New Roman" w:eastAsia="Times New Roman" w:hAnsi="Times New Roman" w:cs="Times New Roman"/>
          <w:sz w:val="24"/>
          <w:szCs w:val="24"/>
        </w:rPr>
        <w:t>A.  Because the legislature recognizes the existence of an emerging industry with the fifty year old and above demographic, it finds that the state has a role and responsibility in developing Louisiana as a desirable place of residence for this age cohort.  The legislature also recognizes that residents and tourists fifty years old and above spend a disproportionate amount of their disposable income on goods and services, which in turn creates new jobs.  In addition, tax dollars generated from these incomes provide a boost to state and local economies.  The legislature also finds that major aspects of this emerging industry are related directly to both tourism and economic development and that there should be a concerted effort by the state to focus on or serve the growing fifty year old and above market.</w:t>
      </w:r>
    </w:p>
    <w:p w:rsidR="00867599" w:rsidRPr="00867599" w:rsidRDefault="00867599" w:rsidP="00867599">
      <w:pPr>
        <w:shd w:val="clear" w:color="auto" w:fill="FFFFFF"/>
        <w:spacing w:after="0" w:line="280" w:lineRule="atLeast"/>
        <w:ind w:firstLine="720"/>
        <w:rPr>
          <w:rFonts w:ascii="Times New Roman" w:eastAsia="Times New Roman" w:hAnsi="Times New Roman" w:cs="Times New Roman"/>
          <w:sz w:val="24"/>
          <w:szCs w:val="24"/>
        </w:rPr>
      </w:pPr>
      <w:r w:rsidRPr="00867599">
        <w:rPr>
          <w:rFonts w:ascii="Times New Roman" w:eastAsia="Times New Roman" w:hAnsi="Times New Roman" w:cs="Times New Roman"/>
          <w:sz w:val="24"/>
          <w:szCs w:val="24"/>
        </w:rPr>
        <w:t>B.  Because the fifty year old and above demographic is a potential source of economic growth for Louisiana, the legislature determines it is necessary and essential to create the Encore Louisiana Commission to engage in developing, promoting, and marketing Louisiana as a destination for residents and tourists fifty years old and above.</w:t>
      </w:r>
    </w:p>
    <w:p w:rsidR="00867599" w:rsidRPr="00867599" w:rsidRDefault="00867599" w:rsidP="00867599">
      <w:pPr>
        <w:shd w:val="clear" w:color="auto" w:fill="FFFFFF"/>
        <w:spacing w:after="0" w:line="280" w:lineRule="atLeast"/>
        <w:ind w:firstLine="720"/>
        <w:rPr>
          <w:rFonts w:ascii="Times New Roman" w:eastAsia="Times New Roman" w:hAnsi="Times New Roman" w:cs="Times New Roman"/>
          <w:sz w:val="24"/>
          <w:szCs w:val="24"/>
        </w:rPr>
      </w:pPr>
      <w:r w:rsidRPr="00867599">
        <w:rPr>
          <w:rFonts w:ascii="Times New Roman" w:eastAsia="Times New Roman" w:hAnsi="Times New Roman" w:cs="Times New Roman"/>
          <w:sz w:val="24"/>
          <w:szCs w:val="24"/>
        </w:rPr>
        <w:t>Acts 1999, No. 1099, §2; Acts 2009, No. 342, §3.</w:t>
      </w:r>
    </w:p>
    <w:p w:rsidR="00AD0E08" w:rsidRDefault="00AD0E08">
      <w:bookmarkStart w:id="0" w:name="_GoBack"/>
      <w:bookmarkEnd w:id="0"/>
    </w:p>
    <w:sectPr w:rsidR="00AD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99"/>
    <w:rsid w:val="00867599"/>
    <w:rsid w:val="00AD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A489-5674-4945-AFC6-53858FD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1797">
      <w:bodyDiv w:val="1"/>
      <w:marLeft w:val="0"/>
      <w:marRight w:val="0"/>
      <w:marTop w:val="0"/>
      <w:marBottom w:val="0"/>
      <w:divBdr>
        <w:top w:val="none" w:sz="0" w:space="0" w:color="auto"/>
        <w:left w:val="none" w:sz="0" w:space="0" w:color="auto"/>
        <w:bottom w:val="none" w:sz="0" w:space="0" w:color="auto"/>
        <w:right w:val="none" w:sz="0" w:space="0" w:color="auto"/>
      </w:divBdr>
      <w:divsChild>
        <w:div w:id="433284819">
          <w:marLeft w:val="0"/>
          <w:marRight w:val="0"/>
          <w:marTop w:val="0"/>
          <w:marBottom w:val="0"/>
          <w:divBdr>
            <w:top w:val="none" w:sz="0" w:space="0" w:color="auto"/>
            <w:left w:val="none" w:sz="0" w:space="0" w:color="auto"/>
            <w:bottom w:val="none" w:sz="0" w:space="0" w:color="auto"/>
            <w:right w:val="none" w:sz="0" w:space="0" w:color="auto"/>
          </w:divBdr>
          <w:divsChild>
            <w:div w:id="746659719">
              <w:marLeft w:val="0"/>
              <w:marRight w:val="0"/>
              <w:marTop w:val="0"/>
              <w:marBottom w:val="0"/>
              <w:divBdr>
                <w:top w:val="none" w:sz="0" w:space="0" w:color="auto"/>
                <w:left w:val="none" w:sz="0" w:space="0" w:color="auto"/>
                <w:bottom w:val="none" w:sz="0" w:space="0" w:color="auto"/>
                <w:right w:val="none" w:sz="0" w:space="0" w:color="auto"/>
              </w:divBdr>
              <w:divsChild>
                <w:div w:id="1344089572">
                  <w:marLeft w:val="3750"/>
                  <w:marRight w:val="750"/>
                  <w:marTop w:val="450"/>
                  <w:marBottom w:val="0"/>
                  <w:divBdr>
                    <w:top w:val="none" w:sz="0" w:space="0" w:color="auto"/>
                    <w:left w:val="none" w:sz="0" w:space="0" w:color="auto"/>
                    <w:bottom w:val="none" w:sz="0" w:space="0" w:color="auto"/>
                    <w:right w:val="none" w:sz="0" w:space="0" w:color="auto"/>
                  </w:divBdr>
                  <w:divsChild>
                    <w:div w:id="213585065">
                      <w:marLeft w:val="0"/>
                      <w:marRight w:val="2250"/>
                      <w:marTop w:val="0"/>
                      <w:marBottom w:val="0"/>
                      <w:divBdr>
                        <w:top w:val="none" w:sz="0" w:space="0" w:color="auto"/>
                        <w:left w:val="none" w:sz="0" w:space="0" w:color="auto"/>
                        <w:bottom w:val="none" w:sz="0" w:space="0" w:color="auto"/>
                        <w:right w:val="none" w:sz="0" w:space="0" w:color="auto"/>
                      </w:divBdr>
                    </w:div>
                    <w:div w:id="11160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gov/Legis/LawPrint.aspx?d=104000" TargetMode="External"/><Relationship Id="rId11" Type="http://schemas.openxmlformats.org/officeDocument/2006/relationships/control" Target="activeX/activeX3.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Curcio</dc:creator>
  <cp:keywords/>
  <dc:description/>
  <cp:lastModifiedBy>Marlene Curcio</cp:lastModifiedBy>
  <cp:revision>1</cp:revision>
  <dcterms:created xsi:type="dcterms:W3CDTF">2017-01-23T16:45:00Z</dcterms:created>
  <dcterms:modified xsi:type="dcterms:W3CDTF">2017-01-23T16:46:00Z</dcterms:modified>
</cp:coreProperties>
</file>